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84"/>
          <w:szCs w:val="84"/>
          <w:lang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840105</wp:posOffset>
                </wp:positionV>
                <wp:extent cx="5457825" cy="75565"/>
                <wp:effectExtent l="6350" t="6350" r="22225" b="13335"/>
                <wp:wrapNone/>
                <wp:docPr id="219" name="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7905" y="1830705"/>
                          <a:ext cx="5457825" cy="755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oundrect id=" 219" o:spid="_x0000_s1026" o:spt="2" style="position:absolute;left:0pt;margin-left:-9.1pt;margin-top:66.15pt;height:5.95pt;width:429.75pt;z-index:251658240;v-text-anchor:middle;mso-width-relative:page;mso-height-relative:page;" fillcolor="#FF0000" filled="t" stroked="t" coordsize="21600,21600" arcsize="0.5" o:gfxdata="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RUnnZAAAACwEA&#10;AA8AAAAAAAAAAQAgAAAAIgAAAGRycy9kb3ducmV2LnhtbFBLAQIUABQAAAAIAIdO4kD0zH1G4AEA&#10;ANADAAAOAAAAAAAAAAEAIAAAACgBAABkcnMvZTJvRG9jLnhtbFBLBQYAAAAABgAGAFkBAAB6BQAA&#10;AAA=&#10;">
                <v:fill on="t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宁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南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县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图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书</w: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sz w:val="84"/>
          <w:szCs w:val="84"/>
          <w:lang w:eastAsia="zh-CN"/>
        </w:rPr>
        <w:t>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图书馆各部门：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年，宁南县图书馆在县委、县政府及县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文广体育旅游局</w:t>
      </w:r>
      <w:r>
        <w:rPr>
          <w:rFonts w:hint="eastAsia" w:ascii="仿宋" w:hAnsi="仿宋" w:eastAsia="仿宋" w:cs="仿宋"/>
          <w:sz w:val="32"/>
          <w:szCs w:val="32"/>
        </w:rPr>
        <w:t>的关心、领导和大力支持下，取得了良好的成绩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为了进一步提升公共文化服务能力和水平，充分发挥图书馆精神文明建设窗口作用，我馆特制定201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年工作计划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>请各部门按照计划，积极开展各项工作。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/>
          <w:sz w:val="32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宁南县图书馆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二○一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right"/>
      </w:pPr>
    </w:p>
    <w:p>
      <w:pPr>
        <w:ind w:firstLine="640" w:firstLineChars="200"/>
        <w:jc w:val="right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right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left="450" w:right="450" w:firstLine="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390" w:lineRule="atLeast"/>
        <w:ind w:right="450"/>
        <w:jc w:val="both"/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  <w:r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  <w:t>宁南县图书馆2017年工作计划</w:t>
      </w:r>
    </w:p>
    <w:p>
      <w:pPr>
        <w:jc w:val="center"/>
        <w:rPr>
          <w:rStyle w:val="3"/>
          <w:rFonts w:hint="eastAsia" w:ascii="黑体" w:hAnsi="黑体" w:eastAsia="黑体" w:cs="黑体"/>
          <w:b w:val="0"/>
          <w:bCs/>
          <w:i w:val="0"/>
          <w:caps w:val="0"/>
          <w:color w:val="000000"/>
          <w:spacing w:val="15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进一步加强全馆工作人员的思想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教育学习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定期开展</w:t>
      </w:r>
      <w:r>
        <w:rPr>
          <w:rFonts w:hint="eastAsia" w:ascii="仿宋" w:hAnsi="仿宋" w:eastAsia="仿宋" w:cs="仿宋"/>
          <w:sz w:val="32"/>
          <w:szCs w:val="32"/>
        </w:rPr>
        <w:t>图书馆业务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技能培训</w:t>
      </w:r>
      <w:r>
        <w:rPr>
          <w:rFonts w:hint="eastAsia" w:ascii="仿宋" w:hAnsi="仿宋" w:eastAsia="仿宋" w:cs="仿宋"/>
          <w:sz w:val="32"/>
          <w:szCs w:val="32"/>
        </w:rPr>
        <w:t>，切实增强工作的积极性和主动性。加强图书馆日常管理，保证正常开放和日常活动的正常开展。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进一步完善数字图书馆建设，加强图书馆网站、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微信、微博的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管理，更好地发挥图书馆功能。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开展好各类读书活动，倡导全民阅读。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围绕“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4·23世界读书日</w:t>
      </w:r>
      <w:r>
        <w:rPr>
          <w:rFonts w:hint="eastAsia" w:ascii="仿宋_GB2312" w:eastAsia="仿宋_GB2312"/>
          <w:kern w:val="0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图书服务宣传周</w:t>
      </w:r>
      <w:r>
        <w:rPr>
          <w:rFonts w:hint="eastAsia" w:ascii="仿宋_GB2312" w:eastAsia="仿宋_GB2312"/>
          <w:kern w:val="0"/>
          <w:sz w:val="32"/>
          <w:szCs w:val="32"/>
        </w:rPr>
        <w:t>”“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流动图书展</w:t>
      </w:r>
      <w:r>
        <w:rPr>
          <w:rFonts w:hint="eastAsia" w:ascii="仿宋_GB2312" w:eastAsia="仿宋_GB2312"/>
          <w:kern w:val="0"/>
          <w:sz w:val="32"/>
          <w:szCs w:val="32"/>
        </w:rPr>
        <w:t>”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送阅读下乡、下基层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书香校园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农民读书月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0"/>
          <w:sz w:val="32"/>
          <w:szCs w:val="32"/>
        </w:rPr>
        <w:t>等阅读推广活动，以少儿阅读为抓手，以数字图书馆推广工程为依托，重点主题活动与自主策划相结合的方式</w:t>
      </w:r>
      <w:r>
        <w:rPr>
          <w:rFonts w:hint="eastAsia" w:ascii="仿宋_GB2312" w:eastAsia="仿宋_GB2312"/>
          <w:sz w:val="32"/>
          <w:szCs w:val="32"/>
        </w:rPr>
        <w:t>开展“</w:t>
      </w:r>
      <w:r>
        <w:rPr>
          <w:rFonts w:hint="eastAsia" w:ascii="仿宋_GB2312" w:eastAsia="仿宋_GB2312"/>
          <w:kern w:val="0"/>
          <w:sz w:val="32"/>
          <w:szCs w:val="32"/>
        </w:rPr>
        <w:t>全民阅读”</w:t>
      </w:r>
      <w:r>
        <w:rPr>
          <w:rFonts w:hint="eastAsia" w:ascii="仿宋_GB2312" w:eastAsia="仿宋_GB2312"/>
          <w:sz w:val="32"/>
          <w:szCs w:val="32"/>
        </w:rPr>
        <w:t>活动。</w:t>
      </w:r>
    </w:p>
    <w:p>
      <w:pPr>
        <w:numPr>
          <w:ilvl w:val="0"/>
          <w:numId w:val="2"/>
        </w:numPr>
        <w:spacing w:line="540" w:lineRule="exact"/>
        <w:ind w:left="0" w:leftChars="0" w:firstLine="42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color w:val="000000"/>
          <w:sz w:val="32"/>
          <w:szCs w:val="32"/>
        </w:rPr>
        <w:t>充分利用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图书馆资源</w:t>
      </w:r>
      <w:r>
        <w:rPr>
          <w:rFonts w:hint="eastAsia" w:ascii="仿宋_GB2312" w:eastAsia="仿宋_GB2312" w:cs="Arial"/>
          <w:color w:val="000000"/>
          <w:sz w:val="32"/>
          <w:szCs w:val="32"/>
        </w:rPr>
        <w:t>，开展纪念活动。利用</w:t>
      </w:r>
      <w:r>
        <w:rPr>
          <w:rFonts w:hint="eastAsia" w:ascii="仿宋_GB2312" w:eastAsia="仿宋_GB2312"/>
          <w:sz w:val="32"/>
          <w:szCs w:val="32"/>
        </w:rPr>
        <w:t>法定</w:t>
      </w:r>
      <w:r>
        <w:rPr>
          <w:rFonts w:hint="eastAsia" w:ascii="仿宋_GB2312" w:eastAsia="仿宋_GB2312" w:cs="Arial"/>
          <w:color w:val="000000"/>
          <w:sz w:val="32"/>
          <w:szCs w:val="32"/>
        </w:rPr>
        <w:t>节日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春节、</w:t>
      </w:r>
      <w:r>
        <w:rPr>
          <w:rFonts w:hint="eastAsia" w:ascii="仿宋_GB2312" w:eastAsia="仿宋_GB2312" w:cs="Arial"/>
          <w:color w:val="000000"/>
          <w:sz w:val="32"/>
          <w:szCs w:val="32"/>
        </w:rPr>
        <w:t>“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4·23</w:t>
      </w:r>
      <w:r>
        <w:rPr>
          <w:rFonts w:hint="eastAsia" w:ascii="仿宋_GB2312" w:eastAsia="仿宋_GB2312" w:cs="Arial"/>
          <w:color w:val="000000"/>
          <w:sz w:val="32"/>
          <w:szCs w:val="32"/>
        </w:rPr>
        <w:t>世界读书日”等特殊时间点，以及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“两会”</w:t>
      </w:r>
      <w:r>
        <w:rPr>
          <w:rFonts w:hint="eastAsia" w:ascii="仿宋_GB2312" w:eastAsia="仿宋_GB2312" w:cs="Arial"/>
          <w:color w:val="000000"/>
          <w:sz w:val="32"/>
          <w:szCs w:val="32"/>
        </w:rPr>
        <w:t>等热门话题，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/>
        </w:rPr>
        <w:t>打造专题阅读活动，</w:t>
      </w:r>
      <w:r>
        <w:rPr>
          <w:rFonts w:hint="eastAsia" w:ascii="仿宋_GB2312" w:hAnsi="仿宋" w:eastAsia="仿宋_GB2312"/>
          <w:sz w:val="32"/>
          <w:szCs w:val="32"/>
        </w:rPr>
        <w:t>有计划地培养阅读品牌，</w:t>
      </w:r>
      <w:r>
        <w:rPr>
          <w:rFonts w:hint="eastAsia" w:ascii="仿宋_GB2312" w:eastAsia="仿宋_GB2312"/>
          <w:sz w:val="32"/>
          <w:szCs w:val="32"/>
        </w:rPr>
        <w:t>有目的性和针对性地开展全民阅读工作</w:t>
      </w:r>
      <w:r>
        <w:rPr>
          <w:rFonts w:hint="eastAsia" w:ascii="仿宋_GB2312" w:eastAsia="仿宋_GB2312"/>
          <w:sz w:val="32"/>
          <w:szCs w:val="32"/>
          <w:lang w:eastAsia="zh-CN"/>
        </w:rPr>
        <w:t>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1-12月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以“书香校园”为主题，联合县域内幼儿园、各级学校开展2017</w:t>
      </w:r>
      <w:r>
        <w:rPr>
          <w:rFonts w:hint="eastAsia" w:ascii="仿宋_GB2312" w:eastAsia="仿宋_GB2312"/>
          <w:sz w:val="32"/>
          <w:szCs w:val="32"/>
        </w:rPr>
        <w:t>全国少年儿童阅读年系列活动</w:t>
      </w:r>
      <w:r>
        <w:rPr>
          <w:rFonts w:hint="eastAsia" w:ascii="仿宋_GB2312" w:eastAsia="仿宋_GB2312"/>
          <w:sz w:val="32"/>
          <w:szCs w:val="32"/>
          <w:lang w:eastAsia="zh-CN"/>
        </w:rPr>
        <w:t>。（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3-11月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努力打造宁南“4.23世界读书日”品牌读书活动，开展“全民读书月”主题活动。（4月）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_GB2312" w:eastAsia="仿宋_GB2312"/>
          <w:kern w:val="0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图书服务宣传周</w:t>
      </w:r>
      <w:r>
        <w:rPr>
          <w:rFonts w:hint="eastAsia" w:ascii="仿宋_GB2312" w:eastAsia="仿宋_GB2312"/>
          <w:kern w:val="0"/>
          <w:sz w:val="32"/>
          <w:szCs w:val="32"/>
        </w:rPr>
        <w:t>”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系列活动，做好全民阅读推介活动。（5月）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开展古籍、地方文献等历史文献的征集活动。（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7-8月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继续启动流动图书车“送阅读下乡、下基层”专题活动。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（9-12月）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书香天府·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农民读书月”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活动。（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做好“全国第六次图书馆评估定级”申报的各项筹备工作，为全国第六次图书馆评估定级工作打下基础。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完善免费开放的各项工作，更好地为宁南广大人民群众服务。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加强与上级图书馆和兄弟图书馆的交流工作。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完成上级主管部门交办的其他工作，及时向上级部门报送图书馆相关信息、简报及工作材料。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宁南县图书馆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二○一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Style w:val="3"/>
          <w:rFonts w:hint="eastAsia" w:ascii="仿宋" w:hAnsi="仿宋" w:eastAsia="仿宋" w:cs="仿宋"/>
          <w:b w:val="0"/>
          <w:bCs/>
          <w:i w:val="0"/>
          <w:caps w:val="0"/>
          <w:color w:val="000000"/>
          <w:spacing w:val="15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E99A"/>
    <w:multiLevelType w:val="singleLevel"/>
    <w:tmpl w:val="5875E99A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875E9E1"/>
    <w:multiLevelType w:val="singleLevel"/>
    <w:tmpl w:val="5875E9E1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C748B"/>
    <w:rsid w:val="203C699A"/>
    <w:rsid w:val="344B2C8E"/>
    <w:rsid w:val="5C550CA2"/>
    <w:rsid w:val="71FD3FC4"/>
    <w:rsid w:val="754626F7"/>
    <w:rsid w:val="7C8C7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2017-06-08T10:51:00Z</dcterms:created>
  <dc:creator>Administrator</dc:creator>
  <cp:lastModifiedBy>Administrator</cp:lastModifiedBy>
  <dcterms:modified xsi:type="dcterms:W3CDTF">2017-06-12T06:56:21Z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